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ind w:left="100"/>
        <w:rPr>
          <w:sz w:val="20"/>
        </w:rPr>
      </w:pPr>
      <w:r>
        <w:rPr>
          <w:sz w:val="20"/>
        </w:rPr>
        <w:pict>
          <v:group style="width:353.55pt;height:97.3pt;mso-position-horizontal-relative:char;mso-position-vertical-relative:line" coordorigin="0,0" coordsize="7071,1946">
            <v:shape style="position:absolute;left:0;top:0;width:1843;height:1901" type="#_x0000_t75" stroked="false">
              <v:imagedata r:id="rId5" o:title=""/>
            </v:shape>
            <v:rect style="position:absolute;left:1838;top:403;width:4949;height:504" filled="false" stroked="true" strokeweight="1.92pt" strokecolor="#ffffff"/>
            <v:rect style="position:absolute;left:1886;top:115;width:5165;height:346" filled="false" stroked="true" strokeweight="1.92pt" strokecolor="#ffffff"/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7071;height:1946" type="#_x0000_t202" filled="false" stroked="false">
              <v:textbox inset="0,0,0,0">
                <w:txbxContent>
                  <w:p>
                    <w:pPr>
                      <w:spacing w:before="159"/>
                      <w:ind w:left="1924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w w:val="105"/>
                        <w:sz w:val="21"/>
                      </w:rPr>
                      <w:t>Profa. Ives Solano Araujo</w:t>
                    </w:r>
                  </w:p>
                  <w:p>
                    <w:pPr>
                      <w:spacing w:before="37"/>
                      <w:ind w:left="1881" w:right="0" w:firstLine="0"/>
                      <w:jc w:val="left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sz w:val="40"/>
                      </w:rPr>
                      <w:t>Instituto de Física - UFRGS</w:t>
                    </w:r>
                  </w:p>
                  <w:p>
                    <w:pPr>
                      <w:spacing w:line="254" w:lineRule="auto" w:before="239"/>
                      <w:ind w:left="1948" w:right="2217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5"/>
                        <w:sz w:val="17"/>
                      </w:rPr>
                      <w:t>Caixa Postal 15051 - Campus 91501–970 Porto Alegre, RS, Brasil Fone: (51)3308-6462</w:t>
                    </w:r>
                  </w:p>
                  <w:p>
                    <w:pPr>
                      <w:spacing w:line="188" w:lineRule="exact" w:before="0"/>
                      <w:ind w:left="1948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5"/>
                        <w:sz w:val="17"/>
                      </w:rPr>
                      <w:t>E-mail: </w:t>
                    </w:r>
                    <w:hyperlink r:id="rId6">
                      <w:r>
                        <w:rPr>
                          <w:w w:val="105"/>
                          <w:sz w:val="17"/>
                        </w:rPr>
                        <w:t>ives@if.ufrgs.br</w:t>
                      </w:r>
                    </w:hyperlink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2"/>
        <w:rPr>
          <w:sz w:val="28"/>
        </w:rPr>
      </w:pPr>
    </w:p>
    <w:p>
      <w:pPr>
        <w:spacing w:line="480" w:lineRule="auto" w:before="69"/>
        <w:ind w:left="100" w:right="3336" w:firstLine="2904"/>
        <w:jc w:val="left"/>
        <w:rPr>
          <w:sz w:val="24"/>
        </w:rPr>
      </w:pPr>
      <w:r>
        <w:rPr/>
        <w:pict>
          <v:line style="position:absolute;mso-position-horizontal-relative:page;mso-position-vertical-relative:paragraph;z-index:-2776" from="176.87999pt,-64.30687pt" to="536.879982pt,-64.30687pt" stroked="true" strokeweight="1.92pt" strokecolor="#000000">
            <w10:wrap type="none"/>
          </v:line>
        </w:pict>
      </w:r>
      <w:r>
        <w:rPr>
          <w:b/>
          <w:sz w:val="24"/>
        </w:rPr>
        <w:t>Proposta de Curso de Leitura Estudante(s)</w:t>
      </w:r>
      <w:r>
        <w:rPr>
          <w:sz w:val="24"/>
        </w:rPr>
        <w:t>: Tobias Espinosa de Oliveira</w:t>
      </w:r>
    </w:p>
    <w:p>
      <w:pPr>
        <w:spacing w:before="10"/>
        <w:ind w:left="100" w:right="3336" w:firstLine="0"/>
        <w:jc w:val="left"/>
        <w:rPr>
          <w:sz w:val="24"/>
        </w:rPr>
      </w:pPr>
      <w:r>
        <w:rPr>
          <w:b/>
          <w:sz w:val="24"/>
        </w:rPr>
        <w:t>Professor</w:t>
      </w:r>
      <w:r>
        <w:rPr>
          <w:sz w:val="24"/>
        </w:rPr>
        <w:t>: Ives Solano Araujo</w:t>
      </w:r>
    </w:p>
    <w:p>
      <w:pPr>
        <w:pStyle w:val="BodyText"/>
        <w:spacing w:before="0"/>
        <w:rPr>
          <w:sz w:val="24"/>
        </w:rPr>
      </w:pPr>
    </w:p>
    <w:p>
      <w:pPr>
        <w:spacing w:before="0"/>
        <w:ind w:left="100" w:right="3336" w:firstLine="0"/>
        <w:jc w:val="left"/>
        <w:rPr>
          <w:sz w:val="24"/>
        </w:rPr>
      </w:pPr>
      <w:r>
        <w:rPr>
          <w:b/>
          <w:sz w:val="24"/>
        </w:rPr>
        <w:t>Créditos</w:t>
      </w:r>
      <w:r>
        <w:rPr>
          <w:sz w:val="24"/>
        </w:rPr>
        <w:t>: 02</w:t>
      </w:r>
    </w:p>
    <w:p>
      <w:pPr>
        <w:pStyle w:val="BodyText"/>
        <w:spacing w:before="0"/>
        <w:rPr>
          <w:sz w:val="24"/>
        </w:rPr>
      </w:pPr>
    </w:p>
    <w:p>
      <w:pPr>
        <w:spacing w:before="0"/>
        <w:ind w:left="100" w:right="3336" w:firstLine="0"/>
        <w:jc w:val="left"/>
        <w:rPr>
          <w:sz w:val="24"/>
        </w:rPr>
      </w:pPr>
      <w:r>
        <w:rPr>
          <w:b/>
          <w:sz w:val="24"/>
        </w:rPr>
        <w:t>Período</w:t>
      </w:r>
      <w:r>
        <w:rPr>
          <w:sz w:val="24"/>
        </w:rPr>
        <w:t>: março a julho de 2016</w:t>
      </w:r>
    </w:p>
    <w:p>
      <w:pPr>
        <w:pStyle w:val="BodyText"/>
        <w:spacing w:before="0"/>
        <w:rPr>
          <w:sz w:val="24"/>
        </w:rPr>
      </w:pPr>
    </w:p>
    <w:p>
      <w:pPr>
        <w:pStyle w:val="Heading1"/>
        <w:ind w:right="3336"/>
      </w:pPr>
      <w:r>
        <w:rPr>
          <w:b/>
        </w:rPr>
        <w:t>Curso</w:t>
      </w:r>
      <w:r>
        <w:rPr/>
        <w:t>: Fundamentos Teóricos para a Inovação Didática</w:t>
      </w:r>
    </w:p>
    <w:p>
      <w:pPr>
        <w:pStyle w:val="BodyText"/>
        <w:spacing w:before="4"/>
        <w:rPr>
          <w:sz w:val="24"/>
        </w:rPr>
      </w:pPr>
    </w:p>
    <w:p>
      <w:pPr>
        <w:spacing w:line="274" w:lineRule="exact" w:before="1"/>
        <w:ind w:left="100" w:right="219" w:firstLine="0"/>
        <w:jc w:val="left"/>
        <w:rPr>
          <w:sz w:val="24"/>
        </w:rPr>
      </w:pPr>
      <w:r>
        <w:rPr>
          <w:b/>
          <w:i/>
          <w:sz w:val="24"/>
        </w:rPr>
        <w:t>Ementa: </w:t>
      </w:r>
      <w:r>
        <w:rPr>
          <w:sz w:val="24"/>
        </w:rPr>
        <w:t>Teoria da Transposição Didática. Teoria Antropológica do Didático. Teoria Social- cognitiva da Autoeficácia. Teoria da Difusão de Inovações.</w:t>
      </w:r>
    </w:p>
    <w:p>
      <w:pPr>
        <w:pStyle w:val="BodyText"/>
        <w:spacing w:before="8"/>
        <w:rPr>
          <w:sz w:val="23"/>
        </w:rPr>
      </w:pPr>
    </w:p>
    <w:p>
      <w:pPr>
        <w:spacing w:before="0"/>
        <w:ind w:left="100" w:right="219" w:firstLine="0"/>
        <w:jc w:val="left"/>
        <w:rPr>
          <w:sz w:val="24"/>
        </w:rPr>
      </w:pPr>
      <w:r>
        <w:rPr>
          <w:b/>
          <w:sz w:val="24"/>
        </w:rPr>
        <w:t>Metodologia</w:t>
      </w:r>
      <w:r>
        <w:rPr>
          <w:sz w:val="24"/>
        </w:rPr>
        <w:t>: leitura da bibliografia sugerida e discussões entre alunos e o professor.</w:t>
      </w:r>
    </w:p>
    <w:p>
      <w:pPr>
        <w:pStyle w:val="BodyText"/>
        <w:spacing w:before="0"/>
        <w:rPr>
          <w:sz w:val="24"/>
        </w:rPr>
      </w:pPr>
    </w:p>
    <w:p>
      <w:pPr>
        <w:spacing w:before="0"/>
        <w:ind w:left="100" w:right="3336" w:firstLine="0"/>
        <w:jc w:val="left"/>
        <w:rPr>
          <w:sz w:val="24"/>
        </w:rPr>
      </w:pPr>
      <w:r>
        <w:rPr>
          <w:b/>
          <w:sz w:val="24"/>
        </w:rPr>
        <w:t>Bibliografia</w:t>
      </w:r>
      <w:r>
        <w:rPr>
          <w:sz w:val="24"/>
        </w:rPr>
        <w:t>:</w:t>
      </w:r>
    </w:p>
    <w:p>
      <w:pPr>
        <w:pStyle w:val="BodyText"/>
        <w:spacing w:before="8"/>
        <w:rPr>
          <w:sz w:val="24"/>
        </w:rPr>
      </w:pPr>
    </w:p>
    <w:p>
      <w:pPr>
        <w:pStyle w:val="BodyText"/>
        <w:spacing w:before="1"/>
        <w:ind w:left="100" w:right="219"/>
      </w:pPr>
      <w:r>
        <w:rPr>
          <w:w w:val="105"/>
        </w:rPr>
        <w:t>BANDURA, A. (2008) A teoria social cognitiva na perspectiva da agência. In: BANDURA, A.; AZZI</w:t>
      </w:r>
    </w:p>
    <w:p>
      <w:pPr>
        <w:spacing w:line="252" w:lineRule="auto" w:before="13"/>
        <w:ind w:left="383" w:right="219" w:firstLine="0"/>
        <w:jc w:val="left"/>
        <w:rPr>
          <w:sz w:val="21"/>
        </w:rPr>
      </w:pPr>
      <w:r>
        <w:rPr>
          <w:w w:val="105"/>
          <w:sz w:val="21"/>
        </w:rPr>
        <w:t>R. G.; POLYDORO, S. </w:t>
      </w:r>
      <w:r>
        <w:rPr>
          <w:b/>
          <w:w w:val="105"/>
          <w:sz w:val="21"/>
        </w:rPr>
        <w:t>Teoria Social Cognitiva: </w:t>
      </w:r>
      <w:r>
        <w:rPr>
          <w:w w:val="105"/>
          <w:sz w:val="21"/>
        </w:rPr>
        <w:t>conceitos básicos. Porto Alegre: Artmed, p. 69- 96.</w:t>
      </w:r>
    </w:p>
    <w:p>
      <w:pPr>
        <w:pStyle w:val="BodyText"/>
      </w:pPr>
    </w:p>
    <w:p>
      <w:pPr>
        <w:pStyle w:val="BodyText"/>
        <w:spacing w:line="252" w:lineRule="auto" w:before="0"/>
        <w:ind w:left="383" w:right="219" w:hanging="284"/>
      </w:pPr>
      <w:r>
        <w:rPr>
          <w:w w:val="105"/>
        </w:rPr>
        <w:t>__________ (2005). The Evolution of Social Cognitive Theory. In: SMITH, K. G.; HITT, M. A. (Org.). </w:t>
      </w:r>
      <w:r>
        <w:rPr>
          <w:b/>
          <w:w w:val="105"/>
        </w:rPr>
        <w:t>Great Minds in Management</w:t>
      </w:r>
      <w:r>
        <w:rPr>
          <w:w w:val="105"/>
        </w:rPr>
        <w:t>. Oxford: Oxford University Press, p. 9-35.</w:t>
      </w:r>
    </w:p>
    <w:p>
      <w:pPr>
        <w:pStyle w:val="BodyText"/>
      </w:pPr>
    </w:p>
    <w:p>
      <w:pPr>
        <w:pStyle w:val="BodyText"/>
        <w:spacing w:line="252" w:lineRule="auto" w:before="0"/>
        <w:ind w:left="383" w:right="219" w:hanging="284"/>
      </w:pPr>
      <w:r>
        <w:rPr>
          <w:w w:val="105"/>
        </w:rPr>
        <w:t>__________ (1977). Self-efficacy: toward a unifying theory of behavioral change. </w:t>
      </w:r>
      <w:r>
        <w:rPr>
          <w:b/>
          <w:w w:val="105"/>
        </w:rPr>
        <w:t>Psycological Review</w:t>
      </w:r>
      <w:r>
        <w:rPr>
          <w:w w:val="105"/>
        </w:rPr>
        <w:t>, v. 84, n. 2, p. 191-215.</w:t>
      </w:r>
    </w:p>
    <w:p>
      <w:pPr>
        <w:pStyle w:val="BodyText"/>
      </w:pPr>
    </w:p>
    <w:p>
      <w:pPr>
        <w:spacing w:before="0"/>
        <w:ind w:left="100" w:right="219" w:firstLine="0"/>
        <w:jc w:val="left"/>
        <w:rPr>
          <w:sz w:val="21"/>
        </w:rPr>
      </w:pPr>
      <w:r>
        <w:rPr>
          <w:w w:val="105"/>
          <w:sz w:val="21"/>
        </w:rPr>
        <w:t>CARBONELL, J. (2002) </w:t>
      </w:r>
      <w:r>
        <w:rPr>
          <w:b/>
          <w:w w:val="105"/>
          <w:sz w:val="21"/>
        </w:rPr>
        <w:t>A aventura de inovar: a mudança na escola</w:t>
      </w:r>
      <w:r>
        <w:rPr>
          <w:w w:val="105"/>
          <w:sz w:val="21"/>
        </w:rPr>
        <w:t>. Tradução Fátima Murad.</w:t>
      </w:r>
    </w:p>
    <w:p>
      <w:pPr>
        <w:pStyle w:val="BodyText"/>
        <w:spacing w:before="13"/>
        <w:ind w:left="383" w:right="3336"/>
      </w:pPr>
      <w:r>
        <w:rPr>
          <w:w w:val="105"/>
        </w:rPr>
        <w:t>Porto Alegre: Artmed.</w:t>
      </w:r>
    </w:p>
    <w:p>
      <w:pPr>
        <w:pStyle w:val="BodyText"/>
        <w:rPr>
          <w:sz w:val="22"/>
        </w:rPr>
      </w:pPr>
    </w:p>
    <w:p>
      <w:pPr>
        <w:spacing w:line="252" w:lineRule="auto" w:before="0"/>
        <w:ind w:left="383" w:right="219" w:hanging="284"/>
        <w:jc w:val="left"/>
        <w:rPr>
          <w:sz w:val="21"/>
        </w:rPr>
      </w:pPr>
      <w:r>
        <w:rPr>
          <w:w w:val="105"/>
          <w:sz w:val="21"/>
        </w:rPr>
        <w:t>CHEVALLARD, Y. (1999). El análisis de las prácticas docentes en la teoría antropológica de lo didáctico. </w:t>
      </w:r>
      <w:r>
        <w:rPr>
          <w:b/>
          <w:w w:val="105"/>
          <w:sz w:val="21"/>
        </w:rPr>
        <w:t>Reserches en Didactique des Mathématiques</w:t>
      </w:r>
      <w:r>
        <w:rPr>
          <w:w w:val="105"/>
          <w:sz w:val="21"/>
        </w:rPr>
        <w:t>, v.19, n. 2, p. 221-266.</w:t>
      </w:r>
    </w:p>
    <w:p>
      <w:pPr>
        <w:pStyle w:val="BodyText"/>
      </w:pPr>
    </w:p>
    <w:p>
      <w:pPr>
        <w:spacing w:line="252" w:lineRule="auto" w:before="0"/>
        <w:ind w:left="383" w:right="219" w:hanging="284"/>
        <w:jc w:val="left"/>
        <w:rPr>
          <w:sz w:val="21"/>
        </w:rPr>
      </w:pPr>
      <w:r>
        <w:rPr>
          <w:w w:val="105"/>
          <w:sz w:val="21"/>
        </w:rPr>
        <w:t>_____________ (1991). </w:t>
      </w:r>
      <w:r>
        <w:rPr>
          <w:b/>
          <w:w w:val="105"/>
          <w:sz w:val="21"/>
        </w:rPr>
        <w:t>La Transposición Didáctica: Del saber sábio al saber enseñado</w:t>
      </w:r>
      <w:r>
        <w:rPr>
          <w:w w:val="105"/>
          <w:sz w:val="21"/>
        </w:rPr>
        <w:t>. Buenos Aires: Aique Grupo Editor.</w:t>
      </w:r>
    </w:p>
    <w:p>
      <w:pPr>
        <w:pStyle w:val="BodyText"/>
      </w:pPr>
    </w:p>
    <w:p>
      <w:pPr>
        <w:spacing w:line="252" w:lineRule="auto" w:before="0"/>
        <w:ind w:left="383" w:right="219" w:hanging="284"/>
        <w:jc w:val="left"/>
        <w:rPr>
          <w:sz w:val="21"/>
        </w:rPr>
      </w:pPr>
      <w:r>
        <w:rPr>
          <w:w w:val="105"/>
          <w:sz w:val="21"/>
        </w:rPr>
        <w:t>_____________ (2007). Readjusting Didactics to a Changing Epistemology, </w:t>
      </w:r>
      <w:r>
        <w:rPr>
          <w:b/>
          <w:w w:val="105"/>
          <w:sz w:val="21"/>
        </w:rPr>
        <w:t>European Educational Research Journal, </w:t>
      </w:r>
      <w:r>
        <w:rPr>
          <w:w w:val="105"/>
          <w:sz w:val="21"/>
        </w:rPr>
        <w:t>v.6, n.2 , p. 131-134. Disponível em </w:t>
      </w:r>
      <w:hyperlink r:id="rId7">
        <w:r>
          <w:rPr>
            <w:w w:val="105"/>
            <w:sz w:val="21"/>
          </w:rPr>
          <w:t>http://dx.doi.org/10.2304/eerj.2007.6.2.131.</w:t>
        </w:r>
      </w:hyperlink>
    </w:p>
    <w:p>
      <w:pPr>
        <w:pStyle w:val="BodyText"/>
      </w:pPr>
    </w:p>
    <w:p>
      <w:pPr>
        <w:spacing w:line="252" w:lineRule="auto" w:before="0"/>
        <w:ind w:left="383" w:right="219" w:hanging="284"/>
        <w:jc w:val="left"/>
        <w:rPr>
          <w:sz w:val="21"/>
        </w:rPr>
      </w:pPr>
      <w:r>
        <w:rPr>
          <w:w w:val="105"/>
          <w:sz w:val="21"/>
        </w:rPr>
        <w:t>CHEVALLARD, Y.; BOSCH, M.; GASCÓN, J. (2001) </w:t>
      </w:r>
      <w:r>
        <w:rPr>
          <w:b/>
          <w:w w:val="105"/>
          <w:sz w:val="21"/>
        </w:rPr>
        <w:t>Estudar Matemáticas: O elo perdido entre o ensino e a aprendizagem. </w:t>
      </w:r>
      <w:r>
        <w:rPr>
          <w:w w:val="105"/>
          <w:sz w:val="21"/>
        </w:rPr>
        <w:t>Porto Alegre: Artmed Editora.</w:t>
      </w:r>
    </w:p>
    <w:p>
      <w:pPr>
        <w:pStyle w:val="BodyText"/>
      </w:pPr>
    </w:p>
    <w:p>
      <w:pPr>
        <w:spacing w:before="0"/>
        <w:ind w:left="100" w:right="219" w:firstLine="0"/>
        <w:jc w:val="left"/>
        <w:rPr>
          <w:sz w:val="21"/>
        </w:rPr>
      </w:pPr>
      <w:r>
        <w:rPr>
          <w:w w:val="105"/>
          <w:sz w:val="21"/>
        </w:rPr>
        <w:t>ROGERS, E.M. (2003). </w:t>
      </w:r>
      <w:r>
        <w:rPr>
          <w:b/>
          <w:w w:val="105"/>
          <w:sz w:val="21"/>
        </w:rPr>
        <w:t>Diffusion of Innovations</w:t>
      </w:r>
      <w:r>
        <w:rPr>
          <w:w w:val="105"/>
          <w:sz w:val="21"/>
        </w:rPr>
        <w:t>, 5th ed. New York: NY Free Press.</w:t>
      </w:r>
    </w:p>
    <w:sectPr>
      <w:type w:val="continuous"/>
      <w:pgSz w:w="11900" w:h="16840"/>
      <w:pgMar w:top="720" w:bottom="280" w:left="146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9"/>
    </w:pPr>
    <w:rPr>
      <w:rFonts w:ascii="Times New Roman" w:hAnsi="Times New Roman" w:eastAsia="Times New Roman" w:cs="Times New Roman"/>
      <w:sz w:val="21"/>
      <w:szCs w:val="21"/>
    </w:rPr>
  </w:style>
  <w:style w:styleId="Heading1" w:type="paragraph">
    <w:name w:val="Heading 1"/>
    <w:basedOn w:val="Normal"/>
    <w:uiPriority w:val="1"/>
    <w:qFormat/>
    <w:pPr>
      <w:ind w:left="100" w:right="219"/>
      <w:outlineLvl w:val="1"/>
    </w:pPr>
    <w:rPr>
      <w:rFonts w:ascii="Times New Roman" w:hAnsi="Times New Roman" w:eastAsia="Times New Roman" w:cs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ives@if.ufrgs.br" TargetMode="External"/><Relationship Id="rId7" Type="http://schemas.openxmlformats.org/officeDocument/2006/relationships/hyperlink" Target="http://dx.doi.org/10.2304/eerj.2007.6.2.131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2016-08-29T17:39:44Z</dcterms:created>
  <dcterms:modified xsi:type="dcterms:W3CDTF">2016-08-29T17:39:44Z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2016-08-29T00:00:00Z</vt:filetime>
  </property>
</Properties>
</file>